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9160" w14:textId="77777777" w:rsidR="00DE4260" w:rsidRPr="00AF46AF" w:rsidRDefault="00DE4260" w:rsidP="00DE4260">
      <w:pPr>
        <w:rPr>
          <w:rFonts w:ascii="Calibri" w:hAnsi="Calibri" w:cs="Calibri"/>
          <w:b/>
          <w:bCs/>
        </w:rPr>
      </w:pPr>
      <w:r w:rsidRPr="00AF46AF">
        <w:rPr>
          <w:rFonts w:ascii="Calibri" w:hAnsi="Calibri" w:cs="Calibri"/>
          <w:b/>
          <w:bCs/>
        </w:rPr>
        <w:t>Figure 5- figure supplement 1-source data 2 (validation of cell lines by PCR)</w:t>
      </w:r>
    </w:p>
    <w:p w14:paraId="1746D722" w14:textId="77777777" w:rsidR="00DE4260" w:rsidRPr="00AF46AF" w:rsidRDefault="00DE4260" w:rsidP="00DE4260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  <w:color w:val="191919"/>
          <w:shd w:val="clear" w:color="auto" w:fill="FFFFFF"/>
        </w:rPr>
        <w:t>PCR agarose gel showing successful integration of epitope tag in the intended locus for each apical annuli protein. For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proofErr w:type="spellStart"/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>NPSN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>,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proofErr w:type="spellStart"/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>StxPM</w:t>
      </w:r>
      <w:proofErr w:type="spellEnd"/>
      <w:r w:rsidRPr="00AF46AF">
        <w:rPr>
          <w:rFonts w:ascii="Calibri" w:hAnsi="Calibri" w:cs="Calibri"/>
          <w:color w:val="191919"/>
          <w:shd w:val="clear" w:color="auto" w:fill="FFFFFF"/>
        </w:rPr>
        <w:t>,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>Syp7, a universal forward primer that anneals in the promoter region is used together with a gene-specific reverse primer to obtain a PCR product. For</w:t>
      </w:r>
      <w:r w:rsidRPr="00AF46AF">
        <w:rPr>
          <w:rStyle w:val="apple-converted-space"/>
          <w:rFonts w:ascii="Calibri" w:hAnsi="Calibri" w:cs="Calibri"/>
          <w:color w:val="191919"/>
          <w:shd w:val="clear" w:color="auto" w:fill="FFFFFF"/>
        </w:rPr>
        <w:t> </w:t>
      </w:r>
      <w:r w:rsidRPr="00AF46AF">
        <w:rPr>
          <w:rStyle w:val="Emphasis"/>
          <w:rFonts w:ascii="Calibri" w:hAnsi="Calibri" w:cs="Calibri"/>
          <w:color w:val="191919"/>
          <w:bdr w:val="none" w:sz="0" w:space="0" w:color="auto" w:frame="1"/>
        </w:rPr>
        <w:t>Tg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LMBD3, a gene-specific forward primer is used together with a reverse primer annealing in the terminator region. Parental cell lines for the transfection are used as a negative control. </w:t>
      </w:r>
    </w:p>
    <w:p w14:paraId="6B18993C" w14:textId="77777777" w:rsidR="00E24BEF" w:rsidRPr="00DE4260" w:rsidRDefault="00E24BEF" w:rsidP="00DE4260"/>
    <w:sectPr w:rsidR="00E24BEF" w:rsidRPr="00DE4260" w:rsidSect="005A4F7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3E1993"/>
    <w:rsid w:val="005A4F79"/>
    <w:rsid w:val="006B53B2"/>
    <w:rsid w:val="009F6D0E"/>
    <w:rsid w:val="00C04CE5"/>
    <w:rsid w:val="00DE4260"/>
    <w:rsid w:val="00E24BEF"/>
    <w:rsid w:val="00ED5F79"/>
    <w:rsid w:val="00F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260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F6659E"/>
  </w:style>
  <w:style w:type="character" w:styleId="Emphasis">
    <w:name w:val="Emphasis"/>
    <w:basedOn w:val="DefaultParagraphFont"/>
    <w:uiPriority w:val="20"/>
    <w:qFormat/>
    <w:rsid w:val="00F66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2</cp:revision>
  <dcterms:created xsi:type="dcterms:W3CDTF">2024-01-24T11:57:00Z</dcterms:created>
  <dcterms:modified xsi:type="dcterms:W3CDTF">2024-01-24T11:57:00Z</dcterms:modified>
</cp:coreProperties>
</file>